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2F84" w:rsidRPr="0035178F" w:rsidRDefault="00D22F84" w:rsidP="0035178F">
      <w:pPr>
        <w:shd w:val="clear" w:color="auto" w:fill="FFFFFF"/>
        <w:spacing w:after="255" w:line="270" w:lineRule="atLeast"/>
        <w:jc w:val="center"/>
        <w:outlineLvl w:val="2"/>
        <w:rPr>
          <w:rFonts w:ascii="Arial" w:eastAsia="Times New Roman" w:hAnsi="Arial" w:cs="Arial"/>
          <w:b/>
          <w:bCs/>
          <w:color w:val="333333"/>
          <w:sz w:val="26"/>
          <w:szCs w:val="26"/>
          <w:lang w:eastAsia="ru-RU"/>
        </w:rPr>
      </w:pPr>
      <w:r w:rsidRPr="00D22F84">
        <w:rPr>
          <w:rFonts w:ascii="Arial" w:eastAsia="Times New Roman" w:hAnsi="Arial" w:cs="Arial"/>
          <w:b/>
          <w:bCs/>
          <w:color w:val="333333"/>
          <w:sz w:val="26"/>
          <w:szCs w:val="26"/>
          <w:lang w:eastAsia="ru-RU"/>
        </w:rPr>
        <w:t>Методические рекомендации МР 2.4.0259-21</w:t>
      </w:r>
      <w:r w:rsidRPr="00D22F84">
        <w:rPr>
          <w:rFonts w:ascii="Arial" w:eastAsia="Times New Roman" w:hAnsi="Arial" w:cs="Arial"/>
          <w:b/>
          <w:bCs/>
          <w:color w:val="333333"/>
          <w:sz w:val="26"/>
          <w:szCs w:val="26"/>
          <w:lang w:eastAsia="ru-RU"/>
        </w:rPr>
        <w:br/>
        <w:t>"Методические рекомендации по обеспечению санитарно-эпидемиологических требований к организациям, реализующим образовательные программы дошкольного образования, осуществляющим присмотр и уход за детьми, в том числе размещенным в жилых и нежилых помещениях жилищного фонда и нежилых зданий, а также детским центрам, центрам развития детей и иным хозяйствующим субъектам, реализующим образовательные программы дошкольного образования и (или) осуществляющим присмотр и уход за детьми, размещенным в нежилых помещениях"</w:t>
      </w:r>
      <w:r w:rsidRPr="00D22F84">
        <w:rPr>
          <w:rFonts w:ascii="Arial" w:eastAsia="Times New Roman" w:hAnsi="Arial" w:cs="Arial"/>
          <w:b/>
          <w:bCs/>
          <w:color w:val="333333"/>
          <w:sz w:val="26"/>
          <w:szCs w:val="26"/>
          <w:lang w:eastAsia="ru-RU"/>
        </w:rPr>
        <w:br/>
        <w:t>(утв. Федеральной службой по надзору в сфере защиты прав потребителей и благополучия человека 28 сентября 2021 г.)</w:t>
      </w:r>
      <w:bookmarkStart w:id="0" w:name="_GoBack"/>
      <w:bookmarkEnd w:id="0"/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outlineLvl w:val="2"/>
        <w:rPr>
          <w:rFonts w:ascii="Arial" w:eastAsia="Times New Roman" w:hAnsi="Arial" w:cs="Arial"/>
          <w:b/>
          <w:bCs/>
          <w:color w:val="333333"/>
          <w:sz w:val="26"/>
          <w:szCs w:val="26"/>
          <w:lang w:eastAsia="ru-RU"/>
        </w:rPr>
      </w:pPr>
      <w:r w:rsidRPr="00D22F84">
        <w:rPr>
          <w:rFonts w:ascii="Arial" w:eastAsia="Times New Roman" w:hAnsi="Arial" w:cs="Arial"/>
          <w:b/>
          <w:bCs/>
          <w:color w:val="333333"/>
          <w:sz w:val="26"/>
          <w:szCs w:val="26"/>
          <w:lang w:eastAsia="ru-RU"/>
        </w:rPr>
        <w:t>I. Общие положения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1.1. Настоящие методические рекомендации (далее - MP) разработаны для реализации обязательных санитарно-эпидемиологических требований, в целях охраны здоровья детей и молодежи, предотвращения инфекционных, массовых неинфекционных заболеваний (отравлений), обеспечения безопасных условий при организации работы организаций, реализующих образовательные программы дошкольного образования, осуществляющих присмотр и уход за детьми, в том числе размещенным в жилых и нежилых помещениях жилищного фонда и нежилых зданий, а также детских центров, центров развития детей и иных хозяйствующих субъектов, реализующих образовательные программы дошкольного образования и (или) осуществляющих присмотр и уход за детьми, размещенным в нежилых помещениях.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1.2. MP могут быть использованы гражданами, юридическими лицами и индивидуальными предпринимателями при осуществлении деятельности, предусмотренной пунктом 1.1.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1.3. Понятие "дошкольная образовательная организация" определено Федеральным законом от 29.12.2012 N 273-ФЗ "Об образовании в Российской Федерации" (далее - Федеральный закон N 273-ФЗ). Под дошкольной образовательной организацией понимается образовательная организация, осуществляющая в качестве основной цели ее деятельности образовательную деятельность по образовательным программам дошкольного образования, присмотр и уход за детьми.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Образовательные программы, в том числе адаптивные, реализуются в соответствии с требованиями Федерального государственного образовательного стандарта дошкольного образования.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В соответствии с пунктом 34 статьи 2 Федерального закона N 273-ФЗ "Присмотр и уход за детьми - комплекс мер по организации питания и хозяйственно-бытового обслуживания детей, обеспечению соблюдения ими личной гигиены и режима дня".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Требования пункта 3.1 СП 2.4.3648-20 "Санитарно-эпидемиологические требования к организациям воспитания и обучения, отдыха и оздоровления детей и молодежи" (далее - СП 2.4.3648-20) установлены для дошкольных образовательных организаций и организаций присмотра и уход за детьми, в том числе размещенных в жилых и нежилых помещениях жилищного фонда.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Статьей 31 Федерального закона N 273-ФЗ предусмотрено, что осуществлять образовательную деятельность по программам дошкольного образования вправе иные </w:t>
      </w: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lastRenderedPageBreak/>
        <w:t>юридические лица (т.е. основной целью деятельности которых не является образовательная деятельность по образовательным программам дошкольного образования).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Требования пункта 3.2 СП 2.4.3648-20 установлены для детских центров и центров развития ребенка, размещаемых только в нежилых помещениях, которые могут реализовывать как образовательные программы дошкольного образования, так и </w:t>
      </w:r>
      <w:proofErr w:type="gramStart"/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присмотр</w:t>
      </w:r>
      <w:proofErr w:type="gramEnd"/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 и уход за детьми.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1.4. Положения пункта 2.1.2 СП 2.4.3648-20 к расстоянию от организаций, реализующих программы дошкольного образования, до жилых зданий, должны соблюдаться при разработке проектной документации в отношении зданий, строений, сооружений, помещений, используемых хозяйствующими субъектами при осуществлении деятельности, и не устанавливают требования при предоставлении (зачислении) детям мест в дошкольные организации.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outlineLvl w:val="2"/>
        <w:rPr>
          <w:rFonts w:ascii="Arial" w:eastAsia="Times New Roman" w:hAnsi="Arial" w:cs="Arial"/>
          <w:b/>
          <w:bCs/>
          <w:color w:val="333333"/>
          <w:sz w:val="26"/>
          <w:szCs w:val="26"/>
          <w:lang w:eastAsia="ru-RU"/>
        </w:rPr>
      </w:pPr>
      <w:r w:rsidRPr="00D22F84">
        <w:rPr>
          <w:rFonts w:ascii="Arial" w:eastAsia="Times New Roman" w:hAnsi="Arial" w:cs="Arial"/>
          <w:b/>
          <w:bCs/>
          <w:color w:val="333333"/>
          <w:sz w:val="26"/>
          <w:szCs w:val="26"/>
          <w:lang w:eastAsia="ru-RU"/>
        </w:rPr>
        <w:t>II. Устройство и содержание территорий, транспортное обслуживание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2.1. Требование к транспортному обслуживанию детей (до организации и обратно) установлено для дошкольных организаций, расположенных в сельской местности (подпункт 2.1.2 СП 2.4.3648-20).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Требования к обеспечению транспортного обслуживания детей, посещающих дошкольные организации в условиях городской застройки, санитарными правилами СП 2.4.3648-20 не установлены.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2.2. Дошкольные образовательные организации рекомендуется размещать на внутриквартальных территориях жилых микрорайонов, за пределами санитарно-защитных зон предприятий, сооружений и иных объектов и на расстояниях, обеспечивающих нормативные уровни шума и загрязнения атмосферного воздуха для территории жилой застройки и нормативные уровни инсоляции и естественного освещения помещений и игровых площадок.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При невозможности размещения дошкольных образовательных организаций на внутриквартальных территориях жилых микрорайонов (в условиях сложившейся городской застройки) рекомендуется размещать дошкольные организации за ее пределами с учетом расстояния от территории дошкольной организации до жилых зданий имеющейся плотной жилой застройки (микрорайона) не более 800 м.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Прогулки детей организуются на отдельном для каждой группы земельном участке, используемом хозяйствующим субъектом на праве собственности или ином законном основании (собственной территории).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Возможно поочередное использование одной игровой площадки группами кратковременного пребывания (пребывание до 4 часов) в соответствии с графиком прогулок и режимом работы дошкольной организации при условии соблюдения принципа групповой изоляции (например, организация прогулок групп кратковременного пребывания в первой половине дня до выхода основных групп дошкольной организации и после ухода их с прогулки).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Решение вопроса о наличии собственной территории хозяйствующего субъекта рекомендуется осуществлять исходя из реализуемого им вида деятельности.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lastRenderedPageBreak/>
        <w:t>Территория, используемая образовательной организацией для размещения площадки для прогулок на основании договора аренды, должна соответствовать требованиям, предъявляемым к собственной территории. При несоответствии арендуемой территории, договор аренды не заключается (расторгается).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Собственная территория дошкольной организации озеленяется из расчета не менее 50% площади территории, свободной от застройки и физкультурно-спортивных площадок, в том числе и по периметру этой территории (п. 2.2.1), что не устанавливает запрета на включение озеленения на территории прогулочных площадок в площадь озеленения дошкольной организации, а также вертикального и иного вида (типа) озеленения.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2.3. В группах по присмотру и уходу за детьми (без реализации образовательной программы) допускается возможность использования детских игровых площадок, оборудованных в соответствии с требованиями законодательства, если это не противоречит требованиям жилищного законодательства.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2.4. В детских центрах, центрах развития детей, осуществляющих присмотр и уход за детьми, размещенных в нежилых помещениях, допускается возможность использования внутридомовых и придомовых территорий, скверов и парков. Вопрос предоставления внутридомовых и придомовых территорий хозяйствующему субъекту решается в рамках жилищного законодательства.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При реализации в таких организациях образовательных программ дошкольного образования для прогулок детей используется прилегающая к ним собственная территория (земельный участок, используемый хозяйствующим субъектом на праве собственности или ином законном основании).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outlineLvl w:val="2"/>
        <w:rPr>
          <w:rFonts w:ascii="Arial" w:eastAsia="Times New Roman" w:hAnsi="Arial" w:cs="Arial"/>
          <w:b/>
          <w:bCs/>
          <w:color w:val="333333"/>
          <w:sz w:val="26"/>
          <w:szCs w:val="26"/>
          <w:lang w:eastAsia="ru-RU"/>
        </w:rPr>
      </w:pPr>
      <w:r w:rsidRPr="00D22F84">
        <w:rPr>
          <w:rFonts w:ascii="Arial" w:eastAsia="Times New Roman" w:hAnsi="Arial" w:cs="Arial"/>
          <w:b/>
          <w:bCs/>
          <w:color w:val="333333"/>
          <w:sz w:val="26"/>
          <w:szCs w:val="26"/>
          <w:lang w:eastAsia="ru-RU"/>
        </w:rPr>
        <w:t>III. Здание, помещения, оборудование помещений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3.1. При реализации образовательной программы в соответствии с требованиями государственного образовательного стандарта дошкольного образования в организации выполняются требования к территории, набору и площадям помещений, оборудованию в соответствии с пунктом 3.1 СП 2.4.3648-20.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Рекомендуется проводить постепенную замену оборудования, установленного в соответствии с проектом или закупленного ранее.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3.2. Размещение организаций, реализующих образовательные программы дошкольного образования, осуществляющих присмотр и уход за детьми, в жилых и нежилых помещениях жилищного фонда и нежилых зданий рекомендуется предусматривать на 1 этаже.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Оптимальное размещение групповых ячеек - не выше третьего этажа с учетом возраста детей. Этажность зданий дошкольных организаций и размещение помещений для дополнительной работы с детьми санитарными правилами не регламентируется.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Самостоятельные вход и выход рекомендуется оборудовать при размещении хозяйствующих субъектов во встроенных в жилые здания и здания общественного и административного назначения, встроенно-пристроенных к жилым зданиям и (или) к зданиям общественного и административного назначения помещениях.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При невозможности оборудовать отдельный вход во встроенные помещения в здания общественного и административного назначения рекомендуется предусмотреть режим </w:t>
      </w: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lastRenderedPageBreak/>
        <w:t>работы, исключающий совмещение времени начала и окончания работы дошкольной организации и иных организаций, размещенных в нежилых зданиях, помещениях.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Для организаций, размещенных в помещениях жилищного фонда рекомендуется предусмотреть </w:t>
      </w:r>
      <w:proofErr w:type="spellStart"/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шумоизоляцию</w:t>
      </w:r>
      <w:proofErr w:type="spellEnd"/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.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3.3. В соответствии с таблицей 6.1 СанПиН 1.2.3685-21 "Гигиенические нормативы и требования к обеспечению безопасности и (или) безвредности для человека факторов среды обитания" (далее - СанПиН 1.2.3685-21) норматив площади на 1 ребенка устанавливается: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- групповая (игровая), игровая комната (помещения), помещения для занятий до 3-х лет - 2,5 </w:t>
      </w:r>
      <w:r w:rsidRPr="00D22F84">
        <w:rPr>
          <w:rFonts w:ascii="Arial" w:eastAsia="Times New Roman" w:hAnsi="Arial" w:cs="Arial"/>
          <w:noProof/>
          <w:color w:val="333333"/>
          <w:sz w:val="23"/>
          <w:szCs w:val="23"/>
          <w:lang w:eastAsia="ru-RU"/>
        </w:rPr>
        <w:drawing>
          <wp:inline distT="0" distB="0" distL="0" distR="0" wp14:anchorId="4E099ADE" wp14:editId="618712BC">
            <wp:extent cx="446405" cy="212725"/>
            <wp:effectExtent l="0" t="0" r="0" b="0"/>
            <wp:docPr id="1" name="Рисунок 1" descr="https://www.garant.ru/files/7/4/1490147/pict26-4027846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garant.ru/files/7/4/1490147/pict26-402784647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21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 , от 3 до 7 лет - 2,0 </w:t>
      </w:r>
      <w:r w:rsidRPr="00D22F84">
        <w:rPr>
          <w:rFonts w:ascii="Arial" w:eastAsia="Times New Roman" w:hAnsi="Arial" w:cs="Arial"/>
          <w:noProof/>
          <w:color w:val="333333"/>
          <w:sz w:val="23"/>
          <w:szCs w:val="23"/>
          <w:lang w:eastAsia="ru-RU"/>
        </w:rPr>
        <w:drawing>
          <wp:inline distT="0" distB="0" distL="0" distR="0" wp14:anchorId="15E6B035" wp14:editId="4E02A909">
            <wp:extent cx="446405" cy="212725"/>
            <wp:effectExtent l="0" t="0" r="0" b="0"/>
            <wp:docPr id="2" name="Рисунок 2" descr="https://www.garant.ru/files/7/4/1490147/pict27-4027846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garant.ru/files/7/4/1490147/pict27-402784647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21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 ;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- спальная (место для сна) для детей до 3-х лет - 1,8 </w:t>
      </w:r>
      <w:r w:rsidRPr="00D22F84">
        <w:rPr>
          <w:rFonts w:ascii="Arial" w:eastAsia="Times New Roman" w:hAnsi="Arial" w:cs="Arial"/>
          <w:noProof/>
          <w:color w:val="333333"/>
          <w:sz w:val="23"/>
          <w:szCs w:val="23"/>
          <w:lang w:eastAsia="ru-RU"/>
        </w:rPr>
        <w:drawing>
          <wp:inline distT="0" distB="0" distL="0" distR="0" wp14:anchorId="58B87B11" wp14:editId="38562234">
            <wp:extent cx="446405" cy="212725"/>
            <wp:effectExtent l="0" t="0" r="0" b="0"/>
            <wp:docPr id="3" name="Рисунок 3" descr="https://www.garant.ru/files/7/4/1490147/pict28-4027846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garant.ru/files/7/4/1490147/pict28-402784647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21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 , от 3 до 7 лет - 2,0 </w:t>
      </w:r>
      <w:r w:rsidRPr="00D22F84">
        <w:rPr>
          <w:rFonts w:ascii="Arial" w:eastAsia="Times New Roman" w:hAnsi="Arial" w:cs="Arial"/>
          <w:noProof/>
          <w:color w:val="333333"/>
          <w:sz w:val="23"/>
          <w:szCs w:val="23"/>
          <w:lang w:eastAsia="ru-RU"/>
        </w:rPr>
        <w:drawing>
          <wp:inline distT="0" distB="0" distL="0" distR="0" wp14:anchorId="5B6AF55D" wp14:editId="3153CDC6">
            <wp:extent cx="446405" cy="212725"/>
            <wp:effectExtent l="0" t="0" r="0" b="0"/>
            <wp:docPr id="4" name="Рисунок 4" descr="https://www.garant.ru/files/7/4/1490147/pict29-4027846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www.garant.ru/files/7/4/1490147/pict29-402784647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21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 ;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- буфетная - 3,0 </w:t>
      </w:r>
      <w:r w:rsidRPr="00D22F84">
        <w:rPr>
          <w:rFonts w:ascii="Arial" w:eastAsia="Times New Roman" w:hAnsi="Arial" w:cs="Arial"/>
          <w:noProof/>
          <w:color w:val="333333"/>
          <w:sz w:val="23"/>
          <w:szCs w:val="23"/>
          <w:lang w:eastAsia="ru-RU"/>
        </w:rPr>
        <w:drawing>
          <wp:inline distT="0" distB="0" distL="0" distR="0" wp14:anchorId="522423E8" wp14:editId="4F825951">
            <wp:extent cx="159385" cy="212725"/>
            <wp:effectExtent l="0" t="0" r="0" b="0"/>
            <wp:docPr id="5" name="Рисунок 5" descr="https://www.garant.ru/files/7/4/1490147/pict30-4027846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www.garant.ru/files/7/4/1490147/pict30-402784647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385" cy="21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 ;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- помещение для приема и (или) приготовления пищи в дошкольных группах, размещенных в жилых помещениях жилищного фонда - 0,7 </w:t>
      </w:r>
      <w:r w:rsidRPr="00D22F84">
        <w:rPr>
          <w:rFonts w:ascii="Arial" w:eastAsia="Times New Roman" w:hAnsi="Arial" w:cs="Arial"/>
          <w:noProof/>
          <w:color w:val="333333"/>
          <w:sz w:val="23"/>
          <w:szCs w:val="23"/>
          <w:lang w:eastAsia="ru-RU"/>
        </w:rPr>
        <w:drawing>
          <wp:inline distT="0" distB="0" distL="0" distR="0" wp14:anchorId="38896F17" wp14:editId="0B77A890">
            <wp:extent cx="159385" cy="212725"/>
            <wp:effectExtent l="0" t="0" r="0" b="0"/>
            <wp:docPr id="6" name="Рисунок 6" descr="https://www.garant.ru/files/7/4/1490147/pict31-4027846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www.garant.ru/files/7/4/1490147/pict31-402784647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385" cy="21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 на 1 посадочное место;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- раздевальная в групповой ячейке в группах менее 10 человек - 1,0 </w:t>
      </w:r>
      <w:r w:rsidRPr="00D22F84">
        <w:rPr>
          <w:rFonts w:ascii="Arial" w:eastAsia="Times New Roman" w:hAnsi="Arial" w:cs="Arial"/>
          <w:noProof/>
          <w:color w:val="333333"/>
          <w:sz w:val="23"/>
          <w:szCs w:val="23"/>
          <w:lang w:eastAsia="ru-RU"/>
        </w:rPr>
        <w:drawing>
          <wp:inline distT="0" distB="0" distL="0" distR="0" wp14:anchorId="3FF82977" wp14:editId="2E5B90ED">
            <wp:extent cx="446405" cy="212725"/>
            <wp:effectExtent l="0" t="0" r="0" b="0"/>
            <wp:docPr id="7" name="Рисунок 7" descr="https://www.garant.ru/files/7/4/1490147/pict32-4027846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www.garant.ru/files/7/4/1490147/pict32-402784647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21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 (минимальная площадь помещения 6,0 </w:t>
      </w:r>
      <w:r w:rsidRPr="00D22F84">
        <w:rPr>
          <w:rFonts w:ascii="Arial" w:eastAsia="Times New Roman" w:hAnsi="Arial" w:cs="Arial"/>
          <w:noProof/>
          <w:color w:val="333333"/>
          <w:sz w:val="23"/>
          <w:szCs w:val="23"/>
          <w:lang w:eastAsia="ru-RU"/>
        </w:rPr>
        <w:drawing>
          <wp:inline distT="0" distB="0" distL="0" distR="0" wp14:anchorId="09D38DA5" wp14:editId="13EDB99A">
            <wp:extent cx="159385" cy="212725"/>
            <wp:effectExtent l="0" t="0" r="0" b="0"/>
            <wp:docPr id="8" name="Рисунок 8" descr="https://www.garant.ru/files/7/4/1490147/pict33-4027846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www.garant.ru/files/7/4/1490147/pict33-402784647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385" cy="21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 ), в группах более 10 человек - 18,0 </w:t>
      </w:r>
      <w:r w:rsidRPr="00D22F84">
        <w:rPr>
          <w:rFonts w:ascii="Arial" w:eastAsia="Times New Roman" w:hAnsi="Arial" w:cs="Arial"/>
          <w:noProof/>
          <w:color w:val="333333"/>
          <w:sz w:val="23"/>
          <w:szCs w:val="23"/>
          <w:lang w:eastAsia="ru-RU"/>
        </w:rPr>
        <w:drawing>
          <wp:inline distT="0" distB="0" distL="0" distR="0" wp14:anchorId="21F60770" wp14:editId="768819E4">
            <wp:extent cx="159385" cy="212725"/>
            <wp:effectExtent l="0" t="0" r="0" b="0"/>
            <wp:docPr id="9" name="Рисунок 9" descr="https://www.garant.ru/files/7/4/1490147/pict34-4027846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www.garant.ru/files/7/4/1490147/pict34-402784647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385" cy="21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 ;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- раздевальная (прихожая) - 1,2 </w:t>
      </w:r>
      <w:r w:rsidRPr="00D22F84">
        <w:rPr>
          <w:rFonts w:ascii="Arial" w:eastAsia="Times New Roman" w:hAnsi="Arial" w:cs="Arial"/>
          <w:noProof/>
          <w:color w:val="333333"/>
          <w:sz w:val="23"/>
          <w:szCs w:val="23"/>
          <w:lang w:eastAsia="ru-RU"/>
        </w:rPr>
        <w:drawing>
          <wp:inline distT="0" distB="0" distL="0" distR="0" wp14:anchorId="2F059784" wp14:editId="0492821E">
            <wp:extent cx="446405" cy="212725"/>
            <wp:effectExtent l="0" t="0" r="0" b="0"/>
            <wp:docPr id="10" name="Рисунок 10" descr="https://www.garant.ru/files/7/4/1490147/pict35-4027846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www.garant.ru/files/7/4/1490147/pict35-402784647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21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 , минимальная площадь помещения 6,0 </w:t>
      </w:r>
      <w:r w:rsidRPr="00D22F84">
        <w:rPr>
          <w:rFonts w:ascii="Arial" w:eastAsia="Times New Roman" w:hAnsi="Arial" w:cs="Arial"/>
          <w:noProof/>
          <w:color w:val="333333"/>
          <w:sz w:val="23"/>
          <w:szCs w:val="23"/>
          <w:lang w:eastAsia="ru-RU"/>
        </w:rPr>
        <w:drawing>
          <wp:inline distT="0" distB="0" distL="0" distR="0" wp14:anchorId="0396603D" wp14:editId="3AF6C580">
            <wp:extent cx="159385" cy="212725"/>
            <wp:effectExtent l="0" t="0" r="0" b="0"/>
            <wp:docPr id="11" name="Рисунок 11" descr="https://www.garant.ru/files/7/4/1490147/pict36-4027846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www.garant.ru/files/7/4/1490147/pict36-402784647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385" cy="21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 ;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- кабинет для коррекционно-развивающих занятий с детьми - 10,0 </w:t>
      </w:r>
      <w:r w:rsidRPr="00D22F84">
        <w:rPr>
          <w:rFonts w:ascii="Arial" w:eastAsia="Times New Roman" w:hAnsi="Arial" w:cs="Arial"/>
          <w:noProof/>
          <w:color w:val="333333"/>
          <w:sz w:val="23"/>
          <w:szCs w:val="23"/>
          <w:lang w:eastAsia="ru-RU"/>
        </w:rPr>
        <w:drawing>
          <wp:inline distT="0" distB="0" distL="0" distR="0" wp14:anchorId="299D98A1" wp14:editId="1DF51F4C">
            <wp:extent cx="159385" cy="212725"/>
            <wp:effectExtent l="0" t="0" r="0" b="0"/>
            <wp:docPr id="12" name="Рисунок 12" descr="https://www.garant.ru/files/7/4/1490147/pict37-4027846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www.garant.ru/files/7/4/1490147/pict37-402784647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385" cy="21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 ;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- туалетная до 3-х лет - 0,6 </w:t>
      </w:r>
      <w:r w:rsidRPr="00D22F84">
        <w:rPr>
          <w:rFonts w:ascii="Arial" w:eastAsia="Times New Roman" w:hAnsi="Arial" w:cs="Arial"/>
          <w:noProof/>
          <w:color w:val="333333"/>
          <w:sz w:val="23"/>
          <w:szCs w:val="23"/>
          <w:lang w:eastAsia="ru-RU"/>
        </w:rPr>
        <w:drawing>
          <wp:inline distT="0" distB="0" distL="0" distR="0" wp14:anchorId="2850049A" wp14:editId="20CD43BE">
            <wp:extent cx="446405" cy="212725"/>
            <wp:effectExtent l="0" t="0" r="0" b="0"/>
            <wp:docPr id="13" name="Рисунок 13" descr="https://www.garant.ru/files/7/4/1490147/pict38-4027846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www.garant.ru/files/7/4/1490147/pict38-402784647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21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 , 3-7 лет - 0,8 </w:t>
      </w:r>
      <w:r w:rsidRPr="00D22F84">
        <w:rPr>
          <w:rFonts w:ascii="Arial" w:eastAsia="Times New Roman" w:hAnsi="Arial" w:cs="Arial"/>
          <w:noProof/>
          <w:color w:val="333333"/>
          <w:sz w:val="23"/>
          <w:szCs w:val="23"/>
          <w:lang w:eastAsia="ru-RU"/>
        </w:rPr>
        <w:drawing>
          <wp:inline distT="0" distB="0" distL="0" distR="0" wp14:anchorId="7DAC818C" wp14:editId="5DF2DA88">
            <wp:extent cx="446405" cy="212725"/>
            <wp:effectExtent l="0" t="0" r="0" b="0"/>
            <wp:docPr id="14" name="Рисунок 14" descr="https://www.garant.ru/files/7/4/1490147/pict39-4027846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www.garant.ru/files/7/4/1490147/pict39-402784647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21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 ;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- туалетная и душевая или ванная комната - 0,8 </w:t>
      </w:r>
      <w:r w:rsidRPr="00D22F84">
        <w:rPr>
          <w:rFonts w:ascii="Arial" w:eastAsia="Times New Roman" w:hAnsi="Arial" w:cs="Arial"/>
          <w:noProof/>
          <w:color w:val="333333"/>
          <w:sz w:val="23"/>
          <w:szCs w:val="23"/>
          <w:lang w:eastAsia="ru-RU"/>
        </w:rPr>
        <w:drawing>
          <wp:inline distT="0" distB="0" distL="0" distR="0" wp14:anchorId="1E07A7D5" wp14:editId="26BE4A9B">
            <wp:extent cx="446405" cy="212725"/>
            <wp:effectExtent l="0" t="0" r="0" b="0"/>
            <wp:docPr id="15" name="Рисунок 15" descr="https://www.garant.ru/files/7/4/1490147/pict40-4027846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www.garant.ru/files/7/4/1490147/pict40-402784647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21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 ;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- комната воспитателя в дошкольных группах, размещенных в жилых помещениях жилищного фонда - 6,0 </w:t>
      </w:r>
      <w:r w:rsidRPr="00D22F84">
        <w:rPr>
          <w:rFonts w:ascii="Arial" w:eastAsia="Times New Roman" w:hAnsi="Arial" w:cs="Arial"/>
          <w:noProof/>
          <w:color w:val="333333"/>
          <w:sz w:val="23"/>
          <w:szCs w:val="23"/>
          <w:lang w:eastAsia="ru-RU"/>
        </w:rPr>
        <w:drawing>
          <wp:inline distT="0" distB="0" distL="0" distR="0" wp14:anchorId="6DE85BBA" wp14:editId="0613E6FC">
            <wp:extent cx="414655" cy="212725"/>
            <wp:effectExtent l="0" t="0" r="4445" b="0"/>
            <wp:docPr id="16" name="Рисунок 16" descr="https://www.garant.ru/files/7/4/1490147/pict41-4027846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www.garant.ru/files/7/4/1490147/pict41-402784647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655" cy="21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 .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Для эффективного увеличения полезного пространства групповой ячейки не исключается возможность использования спальни в период бодрствования детей для организации игровой деятельности и образовательной деятельности, в том числе за счет объединения пространства с использованием трансформируемых технологий, при условии соблюдения режима дня, режима проветривания и влажной уборки (влажная уборка в спальне не менее чем за 30 минут до сна детей, при постоянном проветривании в течение 30 минут), уровней шума в спальных помещениях во время сна.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3.4. Нормативы количества и установки санитарных приборов в помещениях изложены в таблице 6.1 СанПиН 1.2.3685-21: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а) высота установки умывальных раковин или раковины желобкового типа (от пола до борта) до 4-х лет - 0,4 м, от 4-х до 7 лет - 0,5 м;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lastRenderedPageBreak/>
        <w:t>б) количество санитарных приборов для детей дошкольного возраста: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- до 3-х лет - не менее: умывальники или 1 раковина желобкового типа - 1 кран на 5 детей, 1 унитаз на 5 детей (индивидуальные горшки), 1 душевой поддон, 1 умывальник для персонала;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- 3-7 лет - не менее: умывальники или 1 раковина желобкового типа - 1 кран на 5 детей, 1 унитаз на 5 детей, 1 умывальник для персонала, 1 душевой поддон;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- 3-7 лет, для организаций с кратковременным пребыванием (4 часа и менее): умывальники или 1 раковина желобкового типа - 1 кран на 20 детей, 1 унитаз на 20 детей, 1 умывальник для персонала, 1 душевой поддон.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3.5. Туалеты дошкольных организаций оборудуются с учетом возрастных особенностей детей.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3.6. В туалетах дошкольных образовательных организаций и организаций, осуществляющих присмотр и уход за детьми, допускается использование одноразовых индивидуальных сидений (накладок) на унитаз.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3.7. Необходимо постоянное наличие туалетной бумаги в туалетной кабине.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3.8. Спальни оборудуются кроватями с твердым ложем.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Спальни могут оборудоваться раскладными кроватями с жестким ложем или трансформируемыми кроватями, не превышающими трех уровней, имеющими самостоятельный заход на них, обеспечивающими свободное передвижение детей к спальному месту и соблюдением минимальных разрывов при расстановке кроватей.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В целях обеспечения безопасности для жизни и здоровья детей для отдельного захода на трансформируемые кровати не следует использовать подручные средства, технологически не связанные с изделием.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3.9. При расстановке кроватей соблюдаются минимальные разрывы от наружных стен - не менее 60 см, от отопительных приборов - не менее 20 см, между кроватями - не менее 50 см, между изголовьями 2-х кроватей - не менее 30 см.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3.10. Режим дня должен соответствовать возрастным особенностям детей и способствовать их гармоничному развитию. Максимальная продолжительность непрерывного бодрствования детей 3-7 лет составляет 5,5-6 часов, до 3 лет - в соответствии с медицинскими рекомендациями.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3.11. Рекомендованная общая продолжительность суточного сна для детей до 1 года не менее 14-15 часов, от 1 года до 7 лет - 12-12,5 часа, из которых 2,0-2,5 отводится дневному сну. Дневной сон рекомендуется организовывать для детей до 1 года 2-4 раза в день продолжительностью до 2 часов (в зависимости от возраста), для детей от 1 года до 1,5 года дважды в первую и вторую половину дня общей продолжительностью до 3,5 часа. Для детей от 1,5 до 3 лет дневной сон рекомендуется организовывать однократно продолжительностью не менее 3 часов. Перед сном не рекомендуется проведение подвижных эмоциональных игр.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Детей с трудным засыпанием и чутким сном рекомендуется укладывать первыми и поднимать последними. В разновозрастных группах более старших детей после сна поднимают раньше.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outlineLvl w:val="2"/>
        <w:rPr>
          <w:rFonts w:ascii="Arial" w:eastAsia="Times New Roman" w:hAnsi="Arial" w:cs="Arial"/>
          <w:b/>
          <w:bCs/>
          <w:color w:val="333333"/>
          <w:sz w:val="26"/>
          <w:szCs w:val="26"/>
          <w:lang w:eastAsia="ru-RU"/>
        </w:rPr>
      </w:pPr>
      <w:r w:rsidRPr="00D22F84">
        <w:rPr>
          <w:rFonts w:ascii="Arial" w:eastAsia="Times New Roman" w:hAnsi="Arial" w:cs="Arial"/>
          <w:b/>
          <w:bCs/>
          <w:color w:val="333333"/>
          <w:sz w:val="26"/>
          <w:szCs w:val="26"/>
          <w:lang w:eastAsia="ru-RU"/>
        </w:rPr>
        <w:lastRenderedPageBreak/>
        <w:t>IV. Организация отопления, вентиляции, кондиционирования воздуха, естественного и искусственного освещения помещений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4.1. Санитарно-эпидемиологические требования к организации отопления, вентиляции, кондиционирования воздуха, естественного и искусственного освещения помещений установлены СанПиН 1.2.3685-21, СП 2.4.3648-20.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4.2. Рекомендации к организации отопления, вентиляции, кондиционирования воздуха, естественного и искусственного освещения помещений определены в пунктах 4.1-4.4, 4.6 главы IV MP 2.4.0242-21 "Методические рекомендации по обеспечению санитарно-эпидемиологических требований к организациям воспитания и обучения, отдыха и оздоровления детей и молодежи".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outlineLvl w:val="2"/>
        <w:rPr>
          <w:rFonts w:ascii="Arial" w:eastAsia="Times New Roman" w:hAnsi="Arial" w:cs="Arial"/>
          <w:b/>
          <w:bCs/>
          <w:color w:val="333333"/>
          <w:sz w:val="26"/>
          <w:szCs w:val="26"/>
          <w:lang w:eastAsia="ru-RU"/>
        </w:rPr>
      </w:pPr>
      <w:r w:rsidRPr="00D22F84">
        <w:rPr>
          <w:rFonts w:ascii="Arial" w:eastAsia="Times New Roman" w:hAnsi="Arial" w:cs="Arial"/>
          <w:b/>
          <w:bCs/>
          <w:color w:val="333333"/>
          <w:sz w:val="26"/>
          <w:szCs w:val="26"/>
          <w:lang w:eastAsia="ru-RU"/>
        </w:rPr>
        <w:t>V. Организация образовательного процесса, режима дня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5.1. Требования к организации режима дня установлены в таблице 6.6 СанПиН 1.2.3685-21: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- начало занятий для детей дошкольного возраста не ранее 8:00, окончание - не позднее 17:00;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- продолжительность занятия для детей дошкольного возраста, не более: от 1,5 до 3 лет - 10 минут, от 3 до 4 лет - 15 минут, от 4 до 5 лет - 20 минут, от 5 до 6 лет - 25 минут, от 6 до 7 лет - 30 минут;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- продолжительность дневной суммарной образовательной нагрузки для детей дошкольного возраста, не более - от 1,5 до 3 лет 20 минут, от 3 до 4 лет - 30 минут, от 4 до 5 лет - 40 минут, от 5 до 6 лет - 50 мин или 75 мин при организации 1 занятия после дневного сна, от 6 до 7 лет - 90 минут.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5.2. Суммарный объем двигательной активности дошкольников должен быть не менее 1 часа в день.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5.3. Продолжительность дневного сна для детей 1-3 года должна быть не менее 3,0 часов, для детей 4-7 лет - не менее 2,5 часов.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5.4. Продолжительность прогулок для детей до 7 лет должна составлять не менее 3 часов в день.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5.5. При температуре воздуха ниже минус 15°С и скорости ветра более 7 м/с продолжительность прогулки для детей до 7 лет сокращают или не проводят.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5.6. При организации купания в бассейне детей дошкольного возраста рекомендуется следующая продолжительность нахождения в бассейне в зависимости от возраста детей: в младшей группе - 15-20 мин, в средней группе - 20-25 мин, в старшей группе - 25-30 мин, в подготовительной группе - 25-30 мин. В целях предупреждения переохлаждения детей прогулку после плавания в бассейне рекомендуется проводить не менее чем через 50 минут.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outlineLvl w:val="2"/>
        <w:rPr>
          <w:rFonts w:ascii="Arial" w:eastAsia="Times New Roman" w:hAnsi="Arial" w:cs="Arial"/>
          <w:b/>
          <w:bCs/>
          <w:color w:val="333333"/>
          <w:sz w:val="26"/>
          <w:szCs w:val="26"/>
          <w:lang w:eastAsia="ru-RU"/>
        </w:rPr>
      </w:pPr>
      <w:r w:rsidRPr="00D22F84">
        <w:rPr>
          <w:rFonts w:ascii="Arial" w:eastAsia="Times New Roman" w:hAnsi="Arial" w:cs="Arial"/>
          <w:b/>
          <w:bCs/>
          <w:color w:val="333333"/>
          <w:sz w:val="26"/>
          <w:szCs w:val="26"/>
          <w:lang w:eastAsia="ru-RU"/>
        </w:rPr>
        <w:t>VI. Предотвращение и профилактика распространения инфекционных и неинфекционных заболеваний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6.1. Медицинское заключение (медицинская справка) предоставляется для допуска детей к посещению дошкольной организации только после перенесенного заболевания.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lastRenderedPageBreak/>
        <w:t>При отсутствии ребенка по иным причинам, не связанным с заболеванием, порядок приема в дошкольные образовательные организации регламентируется внутренними локальными актами организации (согласно Федеральному закону N 273-ФЗ образовательная организация обладает автономией, под которой понимается самостоятельность в осуществлении образовательной, научной, административной, финансово-экономической деятельности, разработке и принятии локальных нормативных актов в соответствии с настоящим Федеральным законом, иными нормативными правовыми актами Российской Федерации и уставом образовательной организации).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6.2. В целях не допуска в организацию лиц с признаками инфекционных заболеваний (детей, родителей (законных представителей) персонала, посетителей и др.) рекомендуется при входе в организацию проводить термометрию бесконтактным способом. Ответственное лицо за проведение термометрии определяется внутренними локальными актами организации.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6.3. Дезинфекцию воздушной среды приборами по обеззараживанию воздуха рекомендуется проводить в следующих помещениях: раздевальной, игровых, помещениях для дневного сна (при его организации), помещениях дополнительного образования, спортивных и музыкальных залах, в холодном цехе пищеблока (на участке для приготовления салатов при отсутствии цеха), на участке </w:t>
      </w:r>
      <w:proofErr w:type="spellStart"/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порционирования</w:t>
      </w:r>
      <w:proofErr w:type="spellEnd"/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 готовых блюд.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6.4. Ежедневная дезинфекция электронных игр и игрушек (при использовании) проводится в соответствии с рекомендациями производителя либо с использованием растворов или салфеток на спиртовой основе, содержащих не менее 70% спирта.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6.5. Смену </w:t>
      </w:r>
      <w:proofErr w:type="spellStart"/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наматрасников</w:t>
      </w:r>
      <w:proofErr w:type="spellEnd"/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 рекомендуется проводить не реже одного раза в месяц в соответствии с графиком проведения генеральной уборки и по мере загрязнения.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6.6. Не следует размещать аквариумы, животных, птиц в помещениях групповых.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6.7. Постельные принадлежности (матрацы, подушки, одеяла) рекомендуется подвергать химической чистке или дезинфекционной обработке один раз в год.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outlineLvl w:val="2"/>
        <w:rPr>
          <w:rFonts w:ascii="Arial" w:eastAsia="Times New Roman" w:hAnsi="Arial" w:cs="Arial"/>
          <w:b/>
          <w:bCs/>
          <w:color w:val="333333"/>
          <w:sz w:val="26"/>
          <w:szCs w:val="26"/>
          <w:lang w:eastAsia="ru-RU"/>
        </w:rPr>
      </w:pPr>
      <w:r w:rsidRPr="00D22F84">
        <w:rPr>
          <w:rFonts w:ascii="Arial" w:eastAsia="Times New Roman" w:hAnsi="Arial" w:cs="Arial"/>
          <w:b/>
          <w:bCs/>
          <w:color w:val="333333"/>
          <w:sz w:val="26"/>
          <w:szCs w:val="26"/>
          <w:lang w:eastAsia="ru-RU"/>
        </w:rPr>
        <w:t>VII. Организация питания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7.1. Питание детей организуют в помещении групповой. Для мытья столовой посуды буфетная оборудуется </w:t>
      </w:r>
      <w:proofErr w:type="spellStart"/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двухгнездными</w:t>
      </w:r>
      <w:proofErr w:type="spellEnd"/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 моечными ваннами с подводкой к ним холодной и горячей воды. Допускается установка посудомоечной машины.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На случай отключения горячего водоснабжения предусматривается установка резервных </w:t>
      </w:r>
      <w:proofErr w:type="spellStart"/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электроводонагревателей</w:t>
      </w:r>
      <w:proofErr w:type="spellEnd"/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 с жесткой разводкой воды к моечным ваннам.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Режим питания детей и время приема пищи определяются временем начала и окончания работы дошкольной организации при соблюдении времени перерыва между отдельными приемами пищи не более 3,5 часов.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Рекомендуется для составления меню учитывать данные о нормах физиологических потребностей в энергии и пищевых веществах для конкретной возрастной группы детей, времени (режиме) работы организации, организации перерывов между приемами пищи. При 8-10-часовом пребывании рекомендуется организовывать 3-4-разовое питание, при 11-12-часовом: 4-5-разовое питание, при 13-24-часовом: 5-6-разовое питание.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lastRenderedPageBreak/>
        <w:t>При составлении режима питания детей рекомендуется учитывать все установленные законодательством требования и при необходимости предусматривать возможность корректировки времени питания детей в зависимости от режима работы организации.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В дошкольной организации количество приемов пищи и реализация готовых блюд и пищевых продуктов осуществляется согласно утвержденному и согласованному меню, исключая необоснованную замену блюд и пищевых продуктов.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При разработке режима питания детей учитывается пункт 1.9 СП 2.4.3648-20, устанавливающий необходимость обеспечения организации горячего питания при нахождении детей на объектах более 4 часов, а также требования приложений 6-13 СанПиН 2.3/2.4.3590-20 "Санитарно-эпидемиологические требования к организации общественного питания населения" (далее - СанПиН 2.3/2.4.3590-20), устанавливающих нормы суточной потребности детей в пищевых веществах, энергии, витаминах, минеральных веществах, среднесуточные наборы пищевой продукции для организации питания детей и другие.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Отсутствие второго завтрака и организации "уплотненного" полдника, предусмотренных подпунктами 8.1.2.1 и 8.1.2.2 СанПиН 2.3/2.4.3590-20, не должно нарушать физиологические нормы питания детей, и рекомендуется реализовывать с учетом времени пребывания ребенка, режима дня и потребности в пищевых веществах, энергии, витаминах, минеральных веществах, возраста ребенка.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7.2. Для детей, нуждающихся в лечебном и диетическом питании, питание детей рекомендуется осуществлять посредством индивидуальных меню (пункт 8.1.2 СанПиН 2.3/2.4.3590-20).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В случае отсутствия возможности у дошкольной организации обеспечить организацию питания таких детей посредством индивидуальных меню, пунктом 8.2.3 СанПиН 2.3/2.4.3590-20 допускается употребление детьми, нуждающимися в лечебном и диетическом питании, готовых домашних блюд, предоставленных родителями, при создании в организациях определенных условий (специально отведенные помещения (места), оборудованные столами и стульями, холодильником, микроволновыми печами для разогрева блюд, условиями для мытья рук). Кормление детей домашними продуктами в созданных условиях осуществляется непосредственно родителями (законными представителями).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При организации питания детей, нуждающихся в лечебном и диетическом питании, возможно руководствоваться MP 2.4.0162-19 "Особенности организации питания детей, страдающих сахарным диабетом и иными заболеваниями, сопровождающимися ограничениями в питании (в образовательных и оздоровительных организациях)".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7.3. Согласно приложению 6 СанПиН 2.3/2.4.3590-20 колбасы входят в перечень пищевой продукции, которая не допускается при организации питания детей, в том числе в дошкольных образовательных организациях, в составе среднесуточных наборов пищевой продукции для детей до 7-ми лет, изложенных в приложении 7 СанПиН 2.3/2.4.3590-20, колбасные изделия отсутствуют.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7.4. На пищеблоках дошкольных организаций, не имеющих цехового деления, работа с использованием сырья не рекомендуется. Работа осуществляется с использованием полуфабрикатов. При этом обеспечивается последовательность (поточность) технологических процессов, исключающих встречные потоки, сырых полуфабрикатов и готовой продукции, использованной и продезинфицированной посуды.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lastRenderedPageBreak/>
        <w:t>7.5. Производственный контроль предприятий общественного питания, основанный на принципах ХАССП, проводится в соответствии с порядком и периодичностью (включая организационные мероприятия, лабораторные исследования и испытания), установленными предприятием общественного питания.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Согласно положениям технического регламента Таможенного союза "О безопасности пищевой продукции" (ТР ТС 021/2011) с 15.02.2015 при осуществлении процессов производства (изготовления) пищевой продукции, связанных с требованиями безопасности такой продукции, изготовителями должны разрабатываться, внедряться и поддерживаться процедуры, основанные на принципах ХАССП - системы управления безопасностью пищевых продуктов.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Основная задача данной системы - обеспечение контроля на всех этапах производственного процесса, а также и при хранении и реализации продукции, то есть везде, где может возникнуть опасная ситуация, связанная с безопасностью потребителя. Предприятия общественного питания, в том числе в дошкольных организациях, являются частью пищевой отрасли, что также подразумевает внедрение программы ХАССП.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В основе ХАССП семь принципов: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1. Проведение полного анализа рисков при помощи оценки значимости опасных факторов абсолютно на всех этапах жизненных циклов пищевых продуктов, которые находятся под контролем предприятия-изготовителя. Здесь же оценивается вероятность рисков, и вырабатываются меры для их предотвращения, а также сводятся к минимуму выявленные опасные факторы.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2. Определение критических точек контроля, в рамках которых жесткий контроль помогает предотвратить потенциальную опасность или при помощи конкретных мер свести к нулю возможность появления рисков.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3. Установление критических пределов для контрольных точек. Здесь же определяют критерии, которые показывают, что процесс полностью находится под контролем. Разработчики системы формируют лимиты и допуски, которые нужно соблюдать, чтобы в критических точках ситуация не вышла из-под контроля.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4. Установление процедур мониторинга всех критических точек контроля. Для этого должны быть установлены системы наблюдения в критических точках и должны создаваться разные инспекции при помощи регулярного анализа и других разных видов надзора.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5. Разработка корректирующих действий, которые нужно предпринимать в тех случаях, когда наблюдения и инспекция свидетельствуют о том, что ситуация может выйти из-под контроля.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6. Установление процедур ведения и учета документации, в котором фиксируются нужные параметры.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7. Установление процедур проверки документов, которые должны поддерживаться всегда в рабочем состоянии и отражать абсолютно все мероприятия по внедрению, исполнению всех пунктов ХАССП.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lastRenderedPageBreak/>
        <w:t>7.6. Для обеспечения безопасности пищевой продукции в процессе ее производства (изготовления) на основе принципов ХАССП, в организации разрабатываются, внедряются и поддерживаются следующие процедуры: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1) выбор необходимых для обеспечения безопасности пищевой продукции технологических процессов производства (изготовления) пищевой продукции;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2) выбор последовательности и поточности технологических операций производства (изготовления) пищевой продукции с целью исключения загрязнения продовольственного (пищевого) сырья и пищевой продукции;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3) определение контролируемых этапов технологических операций и пищевой продукции на этапах ее производства (изготовления) в программах производственного контроля;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4) проведение контроля за продовольственным (пищевым) сырьем, технологическими средствами, упаковочными материалами, изделиями, используемыми при производстве (изготовлении) пищевой продукции, а также за пищевой продукцией средствами, обеспечивающими необходимые достоверность и полноту контроля;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5) проведение контроля за функционированием технологического оборудования в порядке, обеспечивающем производство (изготовление) пищевой продукции, соответствующей требованиям настоящего технического регламента и (или) технических регламентов Таможенного союза на отдельные виды пищевой продукции;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6) обеспечение документирования информации о контролируемых этапах технологических операций и результатов контроля пищевой продукции;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7) соблюдение условий хранения и перевозки (транспортирования) пищевой продукции;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8) содержание производственных помещений, технологического оборудования и инвентаря, используемых в процессе производства (изготовления) пищевой продукции, в состоянии, исключающем загрязнение пищевой продукции;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9) выбор способов и обеспечение соблюдения работниками правил личной гигиены в целях обеспечения безопасности пищевой продукции;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10) выбор обеспечивающих безопасность пищевой продукции способов, установление периодичности и проведение уборки, мойки, дезинфекции, дезинсекции и дератизации производственных помещений, технологического оборудования и инвентаря, используемых в процессе производства (изготовления) пищевой продукции;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11) ведение и хранение документации на бумажных и (или) электронных носителях, подтверждающей соответствие произведенной пищевой продукции требованиям, установленным настоящим техническим регламентом и (или) техническими регламентами Таможенного союза на отдельные виды пищевой продукции;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12) </w:t>
      </w:r>
      <w:proofErr w:type="spellStart"/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прослеживаемость</w:t>
      </w:r>
      <w:proofErr w:type="spellEnd"/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 пищевой продукции.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При разработке ХАССП проводится анализ всех опасных факторов, которые могут возникнуть при производстве или фасовке пищевой продукции. Производится анализ сырья, полуфабрикатов, процессов производства, упаковки, хранения и отгрузки конечному потребителю. Составляется реестр документов, в состав которого входит список рисков и опасностей, которые могут нанести вред здоровью.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lastRenderedPageBreak/>
        <w:t>7.7. В качестве примера реализации системы 2-4 принципа ХАССП (см. пункт 7.5) может служить программа производственного контроля качества питания в образовательных организациях, включающая номенклатуру, объем и периодичность проведения лабораторных и инструментальных исследований, представленная в таблице.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Таблица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center"/>
        <w:outlineLvl w:val="2"/>
        <w:rPr>
          <w:rFonts w:ascii="Arial" w:eastAsia="Times New Roman" w:hAnsi="Arial" w:cs="Arial"/>
          <w:b/>
          <w:bCs/>
          <w:color w:val="333333"/>
          <w:sz w:val="26"/>
          <w:szCs w:val="26"/>
          <w:lang w:eastAsia="ru-RU"/>
        </w:rPr>
      </w:pPr>
      <w:r w:rsidRPr="00D22F84">
        <w:rPr>
          <w:rFonts w:ascii="Arial" w:eastAsia="Times New Roman" w:hAnsi="Arial" w:cs="Arial"/>
          <w:b/>
          <w:bCs/>
          <w:color w:val="333333"/>
          <w:sz w:val="26"/>
          <w:szCs w:val="26"/>
          <w:lang w:eastAsia="ru-RU"/>
        </w:rPr>
        <w:t>Пример программы производственного контроля качества питания в организациях образовательных организациях, включающая номенклатуру, объем и периодичность проведения лабораторных и инструментальных исследований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82"/>
        <w:gridCol w:w="2487"/>
        <w:gridCol w:w="1904"/>
        <w:gridCol w:w="2494"/>
      </w:tblGrid>
      <w:tr w:rsidR="00D22F84" w:rsidRPr="00D22F84" w:rsidTr="00726F52">
        <w:tc>
          <w:tcPr>
            <w:tcW w:w="0" w:type="auto"/>
            <w:hideMark/>
          </w:tcPr>
          <w:p w:rsidR="00D22F84" w:rsidRPr="00D22F84" w:rsidRDefault="00D22F84" w:rsidP="00726F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22F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Вид исследований</w:t>
            </w:r>
          </w:p>
        </w:tc>
        <w:tc>
          <w:tcPr>
            <w:tcW w:w="0" w:type="auto"/>
            <w:hideMark/>
          </w:tcPr>
          <w:p w:rsidR="00D22F84" w:rsidRPr="00D22F84" w:rsidRDefault="00D22F84" w:rsidP="00726F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22F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Объект исследования (обследования)</w:t>
            </w:r>
          </w:p>
        </w:tc>
        <w:tc>
          <w:tcPr>
            <w:tcW w:w="0" w:type="auto"/>
            <w:hideMark/>
          </w:tcPr>
          <w:p w:rsidR="00D22F84" w:rsidRPr="00D22F84" w:rsidRDefault="00D22F84" w:rsidP="00726F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22F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Количество, не менее</w:t>
            </w:r>
          </w:p>
        </w:tc>
        <w:tc>
          <w:tcPr>
            <w:tcW w:w="0" w:type="auto"/>
            <w:hideMark/>
          </w:tcPr>
          <w:p w:rsidR="00D22F84" w:rsidRPr="00D22F84" w:rsidRDefault="00D22F84" w:rsidP="00726F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22F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Кратность, не реже</w:t>
            </w:r>
          </w:p>
        </w:tc>
      </w:tr>
      <w:tr w:rsidR="00D22F84" w:rsidRPr="00D22F84" w:rsidTr="00726F52">
        <w:tc>
          <w:tcPr>
            <w:tcW w:w="0" w:type="auto"/>
            <w:hideMark/>
          </w:tcPr>
          <w:p w:rsidR="00D22F84" w:rsidRPr="00D22F84" w:rsidRDefault="00D22F84" w:rsidP="00726F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2F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Микробиологические исследования проб готовых блюд на соответствие требованиям санитарного законодательства</w:t>
            </w:r>
          </w:p>
        </w:tc>
        <w:tc>
          <w:tcPr>
            <w:tcW w:w="0" w:type="auto"/>
            <w:hideMark/>
          </w:tcPr>
          <w:p w:rsidR="00D22F84" w:rsidRPr="00D22F84" w:rsidRDefault="00D22F84" w:rsidP="00726F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2F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Салаты, сладкие блюда, напитки, вторые блюда, гарниры, соусы, творожные, яичные, овощные блюда, первые блюда</w:t>
            </w:r>
          </w:p>
        </w:tc>
        <w:tc>
          <w:tcPr>
            <w:tcW w:w="0" w:type="auto"/>
            <w:hideMark/>
          </w:tcPr>
          <w:p w:rsidR="00D22F84" w:rsidRPr="00D22F84" w:rsidRDefault="00D22F84" w:rsidP="00726F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2F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2-3 блюда исследуемого приема пищи</w:t>
            </w:r>
          </w:p>
        </w:tc>
        <w:tc>
          <w:tcPr>
            <w:tcW w:w="0" w:type="auto"/>
            <w:hideMark/>
          </w:tcPr>
          <w:p w:rsidR="00D22F84" w:rsidRPr="00D22F84" w:rsidRDefault="00D22F84" w:rsidP="00726F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2F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раз в квартал</w:t>
            </w:r>
          </w:p>
        </w:tc>
      </w:tr>
      <w:tr w:rsidR="00D22F84" w:rsidRPr="00D22F84" w:rsidTr="00726F52">
        <w:tc>
          <w:tcPr>
            <w:tcW w:w="0" w:type="auto"/>
            <w:hideMark/>
          </w:tcPr>
          <w:p w:rsidR="00D22F84" w:rsidRPr="00D22F84" w:rsidRDefault="00D22F84" w:rsidP="00726F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2F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Калорийность, выход блюд и соответствие химического состава блюд рецептуре</w:t>
            </w:r>
          </w:p>
        </w:tc>
        <w:tc>
          <w:tcPr>
            <w:tcW w:w="0" w:type="auto"/>
            <w:hideMark/>
          </w:tcPr>
          <w:p w:rsidR="00D22F84" w:rsidRPr="00D22F84" w:rsidRDefault="00D22F84" w:rsidP="00726F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2F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Суточный рацион питания</w:t>
            </w:r>
          </w:p>
        </w:tc>
        <w:tc>
          <w:tcPr>
            <w:tcW w:w="0" w:type="auto"/>
            <w:hideMark/>
          </w:tcPr>
          <w:p w:rsidR="00D22F84" w:rsidRPr="00D22F84" w:rsidRDefault="00D22F84" w:rsidP="00726F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2F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рацион 1 приема пищи в количестве всех блюд (завтрак или обед, предпочтение рекомендуется отдавать обеду)</w:t>
            </w:r>
          </w:p>
        </w:tc>
        <w:tc>
          <w:tcPr>
            <w:tcW w:w="0" w:type="auto"/>
            <w:hideMark/>
          </w:tcPr>
          <w:p w:rsidR="00D22F84" w:rsidRPr="00D22F84" w:rsidRDefault="00D22F84" w:rsidP="00726F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2F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раз в год</w:t>
            </w:r>
          </w:p>
        </w:tc>
      </w:tr>
      <w:tr w:rsidR="00D22F84" w:rsidRPr="00D22F84" w:rsidTr="00726F52">
        <w:tc>
          <w:tcPr>
            <w:tcW w:w="0" w:type="auto"/>
            <w:hideMark/>
          </w:tcPr>
          <w:p w:rsidR="00D22F84" w:rsidRPr="00D22F84" w:rsidRDefault="00D22F84" w:rsidP="00726F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2F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проводимой витаминизации блюд</w:t>
            </w:r>
          </w:p>
        </w:tc>
        <w:tc>
          <w:tcPr>
            <w:tcW w:w="0" w:type="auto"/>
            <w:hideMark/>
          </w:tcPr>
          <w:p w:rsidR="00D22F84" w:rsidRPr="00D22F84" w:rsidRDefault="00D22F84" w:rsidP="00726F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2F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Третьи блюда</w:t>
            </w:r>
          </w:p>
        </w:tc>
        <w:tc>
          <w:tcPr>
            <w:tcW w:w="0" w:type="auto"/>
            <w:hideMark/>
          </w:tcPr>
          <w:p w:rsidR="00D22F84" w:rsidRPr="00D22F84" w:rsidRDefault="00D22F84" w:rsidP="00726F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2F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блюдо</w:t>
            </w:r>
          </w:p>
        </w:tc>
        <w:tc>
          <w:tcPr>
            <w:tcW w:w="0" w:type="auto"/>
            <w:hideMark/>
          </w:tcPr>
          <w:p w:rsidR="00D22F84" w:rsidRPr="00D22F84" w:rsidRDefault="00D22F84" w:rsidP="00726F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2F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раза в год</w:t>
            </w:r>
          </w:p>
        </w:tc>
      </w:tr>
      <w:tr w:rsidR="00D22F84" w:rsidRPr="00D22F84" w:rsidTr="00726F52">
        <w:tc>
          <w:tcPr>
            <w:tcW w:w="0" w:type="auto"/>
            <w:hideMark/>
          </w:tcPr>
          <w:p w:rsidR="00D22F84" w:rsidRPr="00D22F84" w:rsidRDefault="00D22F84" w:rsidP="00726F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2F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Микробиологические исследования смывов на наличие санитарно-показательной микрофлоры (БГКП)</w:t>
            </w:r>
          </w:p>
        </w:tc>
        <w:tc>
          <w:tcPr>
            <w:tcW w:w="0" w:type="auto"/>
            <w:hideMark/>
          </w:tcPr>
          <w:p w:rsidR="00D22F84" w:rsidRPr="00D22F84" w:rsidRDefault="00D22F84" w:rsidP="00726F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2F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Объекты производственного окружения, руки и спецодежда персонала</w:t>
            </w:r>
          </w:p>
        </w:tc>
        <w:tc>
          <w:tcPr>
            <w:tcW w:w="0" w:type="auto"/>
            <w:hideMark/>
          </w:tcPr>
          <w:p w:rsidR="00D22F84" w:rsidRPr="00D22F84" w:rsidRDefault="00D22F84" w:rsidP="00726F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2F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 смывов</w:t>
            </w:r>
          </w:p>
        </w:tc>
        <w:tc>
          <w:tcPr>
            <w:tcW w:w="0" w:type="auto"/>
            <w:hideMark/>
          </w:tcPr>
          <w:p w:rsidR="00D22F84" w:rsidRPr="00D22F84" w:rsidRDefault="00D22F84" w:rsidP="00726F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2F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раз в год</w:t>
            </w:r>
          </w:p>
        </w:tc>
      </w:tr>
      <w:tr w:rsidR="00D22F84" w:rsidRPr="00D22F84" w:rsidTr="00726F52">
        <w:tc>
          <w:tcPr>
            <w:tcW w:w="0" w:type="auto"/>
            <w:hideMark/>
          </w:tcPr>
          <w:p w:rsidR="00D22F84" w:rsidRPr="00D22F84" w:rsidRDefault="00D22F84" w:rsidP="00726F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2F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Микробиологические исследования смывов на наличие возбудителей </w:t>
            </w:r>
            <w:proofErr w:type="spellStart"/>
            <w:r w:rsidRPr="00D22F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иерсиниозов</w:t>
            </w:r>
            <w:proofErr w:type="spellEnd"/>
          </w:p>
        </w:tc>
        <w:tc>
          <w:tcPr>
            <w:tcW w:w="0" w:type="auto"/>
            <w:hideMark/>
          </w:tcPr>
          <w:p w:rsidR="00D22F84" w:rsidRPr="00D22F84" w:rsidRDefault="00D22F84" w:rsidP="00726F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2F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Оборудование, инвентарь в овощехранилищах и складах хранения овощей, цехе обработки овощей</w:t>
            </w:r>
          </w:p>
        </w:tc>
        <w:tc>
          <w:tcPr>
            <w:tcW w:w="0" w:type="auto"/>
            <w:hideMark/>
          </w:tcPr>
          <w:p w:rsidR="00D22F84" w:rsidRPr="00D22F84" w:rsidRDefault="00D22F84" w:rsidP="00726F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2F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5-10 смывов</w:t>
            </w:r>
          </w:p>
        </w:tc>
        <w:tc>
          <w:tcPr>
            <w:tcW w:w="0" w:type="auto"/>
            <w:hideMark/>
          </w:tcPr>
          <w:p w:rsidR="00D22F84" w:rsidRPr="00D22F84" w:rsidRDefault="00D22F84" w:rsidP="00726F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2F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раз в год</w:t>
            </w:r>
          </w:p>
        </w:tc>
      </w:tr>
      <w:tr w:rsidR="00D22F84" w:rsidRPr="00D22F84" w:rsidTr="00726F52">
        <w:tc>
          <w:tcPr>
            <w:tcW w:w="0" w:type="auto"/>
            <w:hideMark/>
          </w:tcPr>
          <w:p w:rsidR="00D22F84" w:rsidRPr="00D22F84" w:rsidRDefault="00D22F84" w:rsidP="00726F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2F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Исследования смывов на наличие яиц гельминтов</w:t>
            </w:r>
          </w:p>
        </w:tc>
        <w:tc>
          <w:tcPr>
            <w:tcW w:w="0" w:type="auto"/>
            <w:hideMark/>
          </w:tcPr>
          <w:p w:rsidR="00D22F84" w:rsidRPr="00D22F84" w:rsidRDefault="00D22F84" w:rsidP="00726F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2F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Оборудование, инвентарь, тара, руки, спецодежда персонала, сырые пищевые продукты (рыба, мясо, зелень)</w:t>
            </w:r>
          </w:p>
        </w:tc>
        <w:tc>
          <w:tcPr>
            <w:tcW w:w="0" w:type="auto"/>
            <w:hideMark/>
          </w:tcPr>
          <w:p w:rsidR="00D22F84" w:rsidRPr="00D22F84" w:rsidRDefault="00D22F84" w:rsidP="00726F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2F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 смывов</w:t>
            </w:r>
          </w:p>
        </w:tc>
        <w:tc>
          <w:tcPr>
            <w:tcW w:w="0" w:type="auto"/>
            <w:hideMark/>
          </w:tcPr>
          <w:p w:rsidR="00D22F84" w:rsidRPr="00D22F84" w:rsidRDefault="00D22F84" w:rsidP="00726F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2F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раз в год</w:t>
            </w:r>
          </w:p>
        </w:tc>
      </w:tr>
      <w:tr w:rsidR="00D22F84" w:rsidRPr="00D22F84" w:rsidTr="00726F52">
        <w:tc>
          <w:tcPr>
            <w:tcW w:w="0" w:type="auto"/>
            <w:hideMark/>
          </w:tcPr>
          <w:p w:rsidR="00D22F84" w:rsidRPr="00D22F84" w:rsidRDefault="00D22F84" w:rsidP="00726F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2F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Исследования питьевой воды на соответствие требованиям санитарных норм, правил и </w:t>
            </w:r>
            <w:r w:rsidRPr="00D22F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гигиенических нормативов по химическим и микробиологическим показателям</w:t>
            </w:r>
          </w:p>
        </w:tc>
        <w:tc>
          <w:tcPr>
            <w:tcW w:w="0" w:type="auto"/>
            <w:hideMark/>
          </w:tcPr>
          <w:p w:rsidR="00D22F84" w:rsidRPr="00D22F84" w:rsidRDefault="00D22F84" w:rsidP="00726F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2F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Питьевая вода из разводящей сети помещений: моечных столовой и кухонной </w:t>
            </w:r>
            <w:r w:rsidRPr="00D22F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посуды; цехах: овощном, холодном, горячем, </w:t>
            </w:r>
            <w:proofErr w:type="spellStart"/>
            <w:r w:rsidRPr="00D22F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доготовочном</w:t>
            </w:r>
            <w:proofErr w:type="spellEnd"/>
            <w:r w:rsidRPr="00D22F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(выборочно)</w:t>
            </w:r>
          </w:p>
        </w:tc>
        <w:tc>
          <w:tcPr>
            <w:tcW w:w="0" w:type="auto"/>
            <w:hideMark/>
          </w:tcPr>
          <w:p w:rsidR="00D22F84" w:rsidRPr="00D22F84" w:rsidRDefault="00D22F84" w:rsidP="00726F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2F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 пробы</w:t>
            </w:r>
          </w:p>
        </w:tc>
        <w:tc>
          <w:tcPr>
            <w:tcW w:w="0" w:type="auto"/>
            <w:hideMark/>
          </w:tcPr>
          <w:p w:rsidR="00D22F84" w:rsidRPr="00D22F84" w:rsidRDefault="00D22F84" w:rsidP="00726F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2F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химическим показателям - 1 раз в год; по микробиологическим </w:t>
            </w:r>
            <w:r w:rsidRPr="00D22F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показателям - 2 раза в год</w:t>
            </w:r>
          </w:p>
        </w:tc>
      </w:tr>
    </w:tbl>
    <w:p w:rsidR="00D22F84" w:rsidRPr="00D22F84" w:rsidRDefault="00D22F84" w:rsidP="00726F5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vanish/>
          <w:color w:val="333333"/>
          <w:sz w:val="21"/>
          <w:szCs w:val="21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20"/>
        <w:gridCol w:w="4120"/>
      </w:tblGrid>
      <w:tr w:rsidR="00D22F84" w:rsidRPr="00D22F84" w:rsidTr="00D22F84">
        <w:tc>
          <w:tcPr>
            <w:tcW w:w="2500" w:type="pct"/>
            <w:hideMark/>
          </w:tcPr>
          <w:p w:rsidR="00D22F84" w:rsidRPr="00D22F84" w:rsidRDefault="00D22F84" w:rsidP="00726F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2F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Руководитель Федеральной службы</w:t>
            </w:r>
            <w:r w:rsidRPr="00D22F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по надзору в сфере защиты прав</w:t>
            </w:r>
            <w:r w:rsidRPr="00D22F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потребителей и благополучия человека,</w:t>
            </w:r>
            <w:r w:rsidRPr="00D22F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Главный государственный санитарный</w:t>
            </w:r>
            <w:r w:rsidRPr="00D22F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врач Российской Федерации</w:t>
            </w:r>
          </w:p>
        </w:tc>
        <w:tc>
          <w:tcPr>
            <w:tcW w:w="2500" w:type="pct"/>
            <w:hideMark/>
          </w:tcPr>
          <w:p w:rsidR="00D22F84" w:rsidRPr="00D22F84" w:rsidRDefault="00D22F84" w:rsidP="00726F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2F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А.Ю. Попова</w:t>
            </w:r>
          </w:p>
        </w:tc>
      </w:tr>
    </w:tbl>
    <w:p w:rsidR="00D22F84" w:rsidRPr="00D22F84" w:rsidRDefault="00D22F84" w:rsidP="00726F52">
      <w:pPr>
        <w:spacing w:before="255" w:after="25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review"/>
      <w:bookmarkEnd w:id="1"/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Для организаций дошкольного образования (детских садов и центров, центров развития детей и пр.) разработаны методические рекомендации по обеспечению санитарно-эпидемиологических требований. Затронуты следующие вопросы: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- устройство и содержание территорий, транспортное обслуживание;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- здание, помещения, оборудование помещений;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- организация отопления, вентиляции, кондиционирования воздуха, естественного и искусственного освещения помещений;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- организация образовательного процесса, режима дня;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- предотвращение и профилактика распространения инфекционных и неинфекционных заболеваний;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- организация питания.</w:t>
      </w:r>
    </w:p>
    <w:p w:rsidR="00D22F84" w:rsidRPr="00D22F84" w:rsidRDefault="00D22F84" w:rsidP="00726F52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22F84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Приведена примерная программа производственного контроля качества питания.</w:t>
      </w:r>
    </w:p>
    <w:p w:rsidR="00A76720" w:rsidRDefault="00CD63DC" w:rsidP="00726F52">
      <w:pPr>
        <w:jc w:val="both"/>
      </w:pPr>
    </w:p>
    <w:sectPr w:rsidR="00A76720" w:rsidSect="00726F52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2F84"/>
    <w:rsid w:val="00144768"/>
    <w:rsid w:val="003328E7"/>
    <w:rsid w:val="0035178F"/>
    <w:rsid w:val="006355FC"/>
    <w:rsid w:val="00726F52"/>
    <w:rsid w:val="00A30384"/>
    <w:rsid w:val="00CD63DC"/>
    <w:rsid w:val="00D22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CF69A6"/>
  <w15:docId w15:val="{2BB5ECB2-F700-4745-87A5-1876236B9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22F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22F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91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59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12</Pages>
  <Words>4596</Words>
  <Characters>26203</Characters>
  <Application>Microsoft Office Word</Application>
  <DocSecurity>0</DocSecurity>
  <Lines>218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Ирина Юрьевна</cp:lastModifiedBy>
  <cp:revision>5</cp:revision>
  <dcterms:created xsi:type="dcterms:W3CDTF">2022-09-20T05:48:00Z</dcterms:created>
  <dcterms:modified xsi:type="dcterms:W3CDTF">2022-09-21T04:53:00Z</dcterms:modified>
</cp:coreProperties>
</file>